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DECC" w14:textId="7FD37F06" w:rsidR="00ED7D59" w:rsidRPr="00ED7D59" w:rsidRDefault="00ED7D59">
      <w:pPr>
        <w:rPr>
          <w:b/>
          <w:bCs/>
          <w:sz w:val="28"/>
          <w:szCs w:val="28"/>
        </w:rPr>
      </w:pPr>
      <w:r w:rsidRPr="00ED7D59">
        <w:rPr>
          <w:b/>
          <w:bCs/>
          <w:sz w:val="28"/>
          <w:szCs w:val="28"/>
        </w:rPr>
        <w:t>Gender Analysis Matrix Template</w:t>
      </w:r>
    </w:p>
    <w:p w14:paraId="6C976F3B" w14:textId="0B114678" w:rsidR="00661526" w:rsidRDefault="00E51B06">
      <w:r w:rsidRPr="00E51B06">
        <w:t xml:space="preserve">A gender analysis matrix is a way of organizing information for gender </w:t>
      </w:r>
      <w:r w:rsidR="006910E2">
        <w:t>analysis; it</w:t>
      </w:r>
      <w:r>
        <w:t xml:space="preserve"> is a tool </w:t>
      </w:r>
      <w:r w:rsidRPr="00E51B06">
        <w:t>used for brainstorming</w:t>
      </w:r>
      <w:r>
        <w:t>. Matrixes c</w:t>
      </w:r>
      <w:r w:rsidRPr="00E51B06">
        <w:t>an be used to identify key gender-related considerations</w:t>
      </w:r>
      <w:r w:rsidR="00FB5646">
        <w:t xml:space="preserve"> </w:t>
      </w:r>
      <w:r w:rsidRPr="00E51B06">
        <w:t>relevant for health or health system area</w:t>
      </w:r>
      <w:r>
        <w:t xml:space="preserve"> and/or develop</w:t>
      </w:r>
      <w:r w:rsidRPr="00E51B06">
        <w:t xml:space="preserve"> gender analysis questions and indicators</w:t>
      </w:r>
      <w:r>
        <w:t>. Using a gender analysis matrix will allow you to c</w:t>
      </w:r>
      <w:r w:rsidRPr="00E51B06">
        <w:t>reate gender responsive interventions in a systematic way</w:t>
      </w:r>
      <w:r>
        <w:t>. It can be used to: (1) identify</w:t>
      </w:r>
      <w:r w:rsidRPr="00E51B06">
        <w:t xml:space="preserve"> how gender analysis can be conducted within existing data set</w:t>
      </w:r>
      <w:r>
        <w:t>s, and/or (2) i</w:t>
      </w:r>
      <w:r w:rsidRPr="00E51B06">
        <w:t xml:space="preserve">dentify key gender-related considerations for </w:t>
      </w:r>
      <w:proofErr w:type="spellStart"/>
      <w:r w:rsidRPr="00E51B06">
        <w:t>programmes</w:t>
      </w:r>
      <w:proofErr w:type="spellEnd"/>
      <w:r w:rsidRPr="00E51B06">
        <w:t xml:space="preserve"> or policies</w:t>
      </w:r>
      <w:r>
        <w:t xml:space="preserve"> and how </w:t>
      </w:r>
      <w:proofErr w:type="spellStart"/>
      <w:r>
        <w:t>programmes</w:t>
      </w:r>
      <w:proofErr w:type="spellEnd"/>
      <w:r>
        <w:t xml:space="preserve"> or policies can be modified to take into account such considerations. </w:t>
      </w:r>
    </w:p>
    <w:p w14:paraId="2DB09621" w14:textId="2D769E3F" w:rsidR="00ED7D59" w:rsidRDefault="00661526">
      <w:r>
        <w:t>You can use and/or modify the template below to develop g</w:t>
      </w:r>
      <w:r w:rsidRPr="00E51B06">
        <w:t>ender considerations (barriers and opportunities)</w:t>
      </w:r>
      <w:r>
        <w:t>, a</w:t>
      </w:r>
      <w:r w:rsidRPr="00E51B06">
        <w:t>nalytical gender analysis questions</w:t>
      </w:r>
      <w:r>
        <w:t>, g</w:t>
      </w:r>
      <w:r w:rsidRPr="00E51B06">
        <w:t>ender analysis questions for inclusion in data collection tools</w:t>
      </w:r>
      <w:r>
        <w:t>, c</w:t>
      </w:r>
      <w:r w:rsidRPr="00E51B06">
        <w:t>odes for qualitative data analysis</w:t>
      </w:r>
      <w:r>
        <w:t>, v</w:t>
      </w:r>
      <w:r w:rsidRPr="00E51B06">
        <w:t>ariables for quantitative analysis</w:t>
      </w:r>
      <w:r>
        <w:t>, and g</w:t>
      </w:r>
      <w:r w:rsidRPr="00E51B06">
        <w:t>ender indicators for</w:t>
      </w:r>
      <w:r>
        <w:t xml:space="preserve"> monitoring and evaluation. While, gender analysis matrixes are meant to be modified to meet study or intervention needs and objectives, the gender analysis domain</w:t>
      </w:r>
      <w:r w:rsidR="00FB5646">
        <w:t>s</w:t>
      </w:r>
      <w:r>
        <w:t xml:space="preserve"> should remain the same. The topic domains should </w:t>
      </w:r>
      <w:r w:rsidR="00FB5646">
        <w:t xml:space="preserve">be modified to </w:t>
      </w:r>
      <w:r>
        <w:t>relate to areas of consideration within your program,</w:t>
      </w:r>
      <w:r w:rsidR="00FB5646">
        <w:t xml:space="preserve"> study, or </w:t>
      </w:r>
      <w:r>
        <w:t>intervention</w:t>
      </w:r>
      <w:r w:rsidR="00FB5646">
        <w:t xml:space="preserve">. </w:t>
      </w:r>
    </w:p>
    <w:p w14:paraId="3846B3F2" w14:textId="66C90EAC" w:rsidR="00ED7D59" w:rsidRPr="0087443A" w:rsidRDefault="00ED7D59">
      <w:r>
        <w:t xml:space="preserve">The matrix </w:t>
      </w:r>
      <w:r w:rsidRPr="00912710">
        <w:t>below builds of</w:t>
      </w:r>
      <w:r w:rsidR="0020481A">
        <w:t>f of</w:t>
      </w:r>
      <w:r w:rsidRPr="00912710">
        <w:t xml:space="preserve"> </w:t>
      </w:r>
      <w:hyperlink r:id="rId6" w:history="1">
        <w:r w:rsidRPr="00912710">
          <w:rPr>
            <w:rStyle w:val="Hyperlink"/>
          </w:rPr>
          <w:t xml:space="preserve">Taking sex and gender into account in emerging infectious disease </w:t>
        </w:r>
        <w:proofErr w:type="spellStart"/>
        <w:r w:rsidRPr="00912710">
          <w:rPr>
            <w:rStyle w:val="Hyperlink"/>
          </w:rPr>
          <w:t>programmes</w:t>
        </w:r>
        <w:proofErr w:type="spellEnd"/>
        <w:r w:rsidRPr="00912710">
          <w:rPr>
            <w:rStyle w:val="Hyperlink"/>
          </w:rPr>
          <w:t>: An analytical framework</w:t>
        </w:r>
      </w:hyperlink>
      <w:r>
        <w:t xml:space="preserve">, published by the World Health Organization. </w:t>
      </w:r>
    </w:p>
    <w:tbl>
      <w:tblPr>
        <w:tblStyle w:val="TableGrid"/>
        <w:tblW w:w="17550" w:type="dxa"/>
        <w:tblInd w:w="-5" w:type="dxa"/>
        <w:tblLook w:val="04A0" w:firstRow="1" w:lastRow="0" w:firstColumn="1" w:lastColumn="0" w:noHBand="0" w:noVBand="1"/>
      </w:tblPr>
      <w:tblGrid>
        <w:gridCol w:w="1457"/>
        <w:gridCol w:w="1474"/>
        <w:gridCol w:w="1596"/>
        <w:gridCol w:w="2403"/>
        <w:gridCol w:w="2430"/>
        <w:gridCol w:w="2700"/>
        <w:gridCol w:w="2880"/>
        <w:gridCol w:w="2610"/>
      </w:tblGrid>
      <w:tr w:rsidR="00ED7D59" w:rsidRPr="009D7581" w14:paraId="4846CB75" w14:textId="4F6773D7" w:rsidTr="00ED7D59">
        <w:trPr>
          <w:tblHeader/>
        </w:trPr>
        <w:tc>
          <w:tcPr>
            <w:tcW w:w="1457" w:type="dxa"/>
            <w:vMerge w:val="restart"/>
            <w:shd w:val="clear" w:color="auto" w:fill="D9D9D9" w:themeFill="background1" w:themeFillShade="D9"/>
          </w:tcPr>
          <w:p w14:paraId="79715121" w14:textId="5252BE1D" w:rsidR="00ED7D59" w:rsidRPr="009D7581" w:rsidRDefault="00ED7D59" w:rsidP="00DE36D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Topic Domains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</w:tcPr>
          <w:p w14:paraId="6B944618" w14:textId="4A8BF5B1" w:rsidR="00ED7D59" w:rsidRPr="009D7581" w:rsidRDefault="00ED7D59" w:rsidP="00DE36D9">
            <w:pPr>
              <w:rPr>
                <w:rFonts w:cstheme="minorHAnsi"/>
                <w:b/>
                <w:sz w:val="20"/>
                <w:szCs w:val="20"/>
              </w:rPr>
            </w:pPr>
            <w:r w:rsidRPr="009D7581">
              <w:rPr>
                <w:rFonts w:cstheme="minorHAnsi"/>
                <w:b/>
                <w:sz w:val="20"/>
                <w:szCs w:val="20"/>
              </w:rPr>
              <w:t xml:space="preserve">Social and Biological </w:t>
            </w:r>
            <w:proofErr w:type="spellStart"/>
            <w:r w:rsidRPr="009D7581">
              <w:rPr>
                <w:rFonts w:cstheme="minorHAnsi"/>
                <w:b/>
                <w:sz w:val="20"/>
                <w:szCs w:val="20"/>
              </w:rPr>
              <w:t>Stratifiers</w:t>
            </w:r>
            <w:proofErr w:type="spellEnd"/>
            <w:r w:rsidRPr="009D75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vMerge w:val="restart"/>
            <w:shd w:val="clear" w:color="auto" w:fill="D9D9D9" w:themeFill="background1" w:themeFillShade="D9"/>
          </w:tcPr>
          <w:p w14:paraId="26219A9D" w14:textId="241F795E" w:rsidR="00ED7D59" w:rsidRPr="009D7581" w:rsidRDefault="00ED7D59" w:rsidP="00DE36D9">
            <w:pPr>
              <w:rPr>
                <w:rFonts w:cstheme="minorHAnsi"/>
                <w:b/>
                <w:sz w:val="20"/>
                <w:szCs w:val="20"/>
              </w:rPr>
            </w:pPr>
            <w:r w:rsidRPr="009D7581">
              <w:rPr>
                <w:rFonts w:cstheme="minorHAnsi"/>
                <w:b/>
                <w:sz w:val="20"/>
                <w:szCs w:val="20"/>
              </w:rPr>
              <w:t>Sex/ gender disaggregated data</w:t>
            </w:r>
          </w:p>
        </w:tc>
        <w:tc>
          <w:tcPr>
            <w:tcW w:w="13023" w:type="dxa"/>
            <w:gridSpan w:val="5"/>
            <w:shd w:val="clear" w:color="auto" w:fill="D9D9D9" w:themeFill="background1" w:themeFillShade="D9"/>
          </w:tcPr>
          <w:p w14:paraId="45F3A85F" w14:textId="59A4E63D" w:rsidR="00ED7D59" w:rsidRPr="009D7581" w:rsidRDefault="00ED7D59" w:rsidP="000825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7581">
              <w:rPr>
                <w:rFonts w:cstheme="minorHAnsi"/>
                <w:b/>
                <w:sz w:val="20"/>
                <w:szCs w:val="20"/>
              </w:rPr>
              <w:t>Gender analysis domains</w:t>
            </w:r>
          </w:p>
        </w:tc>
      </w:tr>
      <w:tr w:rsidR="00ED7D59" w:rsidRPr="009D7581" w14:paraId="4C8198F7" w14:textId="335B6960" w:rsidTr="00ED7D59">
        <w:trPr>
          <w:tblHeader/>
        </w:trPr>
        <w:tc>
          <w:tcPr>
            <w:tcW w:w="1457" w:type="dxa"/>
            <w:vMerge/>
            <w:shd w:val="clear" w:color="auto" w:fill="F2F2F2" w:themeFill="background1" w:themeFillShade="F2"/>
          </w:tcPr>
          <w:p w14:paraId="0D2522B9" w14:textId="77777777" w:rsidR="00ED7D59" w:rsidRPr="009D7581" w:rsidRDefault="00ED7D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clear" w:color="auto" w:fill="F2F2F2" w:themeFill="background1" w:themeFillShade="F2"/>
          </w:tcPr>
          <w:p w14:paraId="0C7F247D" w14:textId="0B4264E4" w:rsidR="00ED7D59" w:rsidRPr="009D7581" w:rsidRDefault="00ED7D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F2F2F2" w:themeFill="background1" w:themeFillShade="F2"/>
          </w:tcPr>
          <w:p w14:paraId="7E2A218D" w14:textId="3251F05E" w:rsidR="00ED7D59" w:rsidRPr="009D7581" w:rsidRDefault="00ED7D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14:paraId="71858EBB" w14:textId="4F0F7D9E" w:rsidR="00ED7D59" w:rsidRPr="009D7581" w:rsidRDefault="00ED7D59">
            <w:pPr>
              <w:rPr>
                <w:rFonts w:cstheme="minorHAnsi"/>
                <w:b/>
                <w:sz w:val="20"/>
                <w:szCs w:val="20"/>
              </w:rPr>
            </w:pPr>
            <w:r w:rsidRPr="009D7581">
              <w:rPr>
                <w:rFonts w:cstheme="minorHAnsi"/>
                <w:b/>
                <w:sz w:val="20"/>
                <w:szCs w:val="20"/>
              </w:rPr>
              <w:t>Access to Resources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BC19385" w14:textId="4E8A9E42" w:rsidR="00ED7D59" w:rsidRPr="009D7581" w:rsidRDefault="00ED7D59">
            <w:pPr>
              <w:rPr>
                <w:rFonts w:cstheme="minorHAnsi"/>
                <w:b/>
                <w:sz w:val="20"/>
                <w:szCs w:val="20"/>
              </w:rPr>
            </w:pPr>
            <w:r w:rsidRPr="009D7581">
              <w:rPr>
                <w:rFonts w:cstheme="minorHAnsi"/>
                <w:b/>
                <w:sz w:val="20"/>
                <w:szCs w:val="20"/>
              </w:rPr>
              <w:t xml:space="preserve">Distribution of </w:t>
            </w:r>
            <w:proofErr w:type="spellStart"/>
            <w:r w:rsidRPr="009D7581">
              <w:rPr>
                <w:rFonts w:cstheme="minorHAnsi"/>
                <w:b/>
                <w:sz w:val="20"/>
                <w:szCs w:val="20"/>
              </w:rPr>
              <w:t>Labour</w:t>
            </w:r>
            <w:proofErr w:type="spellEnd"/>
            <w:r w:rsidRPr="009D7581">
              <w:rPr>
                <w:rFonts w:cstheme="minorHAnsi"/>
                <w:b/>
                <w:sz w:val="20"/>
                <w:szCs w:val="20"/>
              </w:rPr>
              <w:t>, Practices, Roles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C452B42" w14:textId="0A81592A" w:rsidR="00ED7D59" w:rsidRPr="009D7581" w:rsidRDefault="00ED7D59">
            <w:pPr>
              <w:rPr>
                <w:rFonts w:cstheme="minorHAnsi"/>
                <w:b/>
                <w:sz w:val="20"/>
                <w:szCs w:val="20"/>
              </w:rPr>
            </w:pPr>
            <w:r w:rsidRPr="009D7581">
              <w:rPr>
                <w:rFonts w:cstheme="minorHAnsi"/>
                <w:b/>
                <w:sz w:val="20"/>
                <w:szCs w:val="20"/>
              </w:rPr>
              <w:t>Norms, Values, Beliefs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FA35ED8" w14:textId="67ED6701" w:rsidR="00ED7D59" w:rsidRPr="009D7581" w:rsidRDefault="00ED7D59" w:rsidP="00F851A6">
            <w:pPr>
              <w:ind w:right="706"/>
              <w:rPr>
                <w:rFonts w:cstheme="minorHAnsi"/>
                <w:b/>
                <w:sz w:val="20"/>
                <w:szCs w:val="20"/>
              </w:rPr>
            </w:pPr>
            <w:r w:rsidRPr="009D7581">
              <w:rPr>
                <w:rFonts w:cstheme="minorHAnsi"/>
                <w:b/>
                <w:sz w:val="20"/>
                <w:szCs w:val="20"/>
              </w:rPr>
              <w:t>Decision-making power, Autonomy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4E65E44" w14:textId="72AB81FF" w:rsidR="00ED7D59" w:rsidRPr="009D7581" w:rsidRDefault="00ED7D59" w:rsidP="00F851A6">
            <w:pPr>
              <w:ind w:right="706"/>
              <w:rPr>
                <w:rFonts w:cstheme="minorHAnsi"/>
                <w:b/>
                <w:sz w:val="20"/>
                <w:szCs w:val="20"/>
              </w:rPr>
            </w:pPr>
            <w:r w:rsidRPr="009D7581">
              <w:rPr>
                <w:rFonts w:cstheme="minorHAnsi"/>
                <w:b/>
                <w:sz w:val="20"/>
                <w:szCs w:val="20"/>
              </w:rPr>
              <w:t>Policies, Laws, Institutions</w:t>
            </w:r>
          </w:p>
        </w:tc>
      </w:tr>
      <w:tr w:rsidR="00ED7D59" w:rsidRPr="009D7581" w14:paraId="1333D16A" w14:textId="24BB411A" w:rsidTr="00ED7D59">
        <w:tc>
          <w:tcPr>
            <w:tcW w:w="1457" w:type="dxa"/>
          </w:tcPr>
          <w:p w14:paraId="0E5B54EB" w14:textId="77777777" w:rsidR="00ED7D59" w:rsidRDefault="00ED7D59" w:rsidP="00D5683D">
            <w:pPr>
              <w:rPr>
                <w:rFonts w:cstheme="minorHAnsi"/>
                <w:b/>
                <w:sz w:val="20"/>
                <w:szCs w:val="20"/>
              </w:rPr>
            </w:pPr>
            <w:r w:rsidRPr="00912710">
              <w:rPr>
                <w:rFonts w:cstheme="minorHAnsi"/>
                <w:b/>
                <w:sz w:val="20"/>
                <w:szCs w:val="20"/>
              </w:rPr>
              <w:t>Vulnerability to disease/ illness</w:t>
            </w:r>
          </w:p>
          <w:p w14:paraId="76FE31BC" w14:textId="59E70298" w:rsidR="00ED7D59" w:rsidRPr="00C57DD9" w:rsidRDefault="00ED7D59" w:rsidP="00D568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4188C138" w14:textId="0A36D6B5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8A7B25E" w14:textId="6F6235D1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88502E2" w14:textId="76006447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1CC8D5E" w14:textId="427455AD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F580CF7" w14:textId="2118758D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215BA04" w14:textId="46060107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EBD5996" w14:textId="77777777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D59" w:rsidRPr="009D7581" w14:paraId="58BAD54A" w14:textId="0122B2DA" w:rsidTr="00ED7D59">
        <w:tc>
          <w:tcPr>
            <w:tcW w:w="1457" w:type="dxa"/>
            <w:shd w:val="clear" w:color="auto" w:fill="F2F2F2" w:themeFill="background1" w:themeFillShade="F2"/>
          </w:tcPr>
          <w:p w14:paraId="023D469A" w14:textId="77777777" w:rsidR="00ED7D59" w:rsidRDefault="00ED7D59" w:rsidP="00D5683D">
            <w:pPr>
              <w:rPr>
                <w:rFonts w:cstheme="minorHAnsi"/>
                <w:b/>
                <w:sz w:val="20"/>
                <w:szCs w:val="20"/>
              </w:rPr>
            </w:pPr>
            <w:r w:rsidRPr="00912710">
              <w:rPr>
                <w:rFonts w:cstheme="minorHAnsi"/>
                <w:b/>
                <w:sz w:val="20"/>
                <w:szCs w:val="20"/>
              </w:rPr>
              <w:t>Exposure</w:t>
            </w:r>
          </w:p>
          <w:p w14:paraId="38848188" w14:textId="333E9094" w:rsidR="00ED7D59" w:rsidRPr="00E726D3" w:rsidRDefault="00ED7D59" w:rsidP="00D568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14:paraId="04B63669" w14:textId="5CA13FDF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14:paraId="4F7B4356" w14:textId="2477E3CF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14:paraId="561C3E9B" w14:textId="149147B0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49AAE75" w14:textId="0E0FF0B0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0D23726F" w14:textId="74D9A411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23D7E41D" w14:textId="25B78FAF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2B340321" w14:textId="77777777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D59" w:rsidRPr="009D7581" w14:paraId="26F20E12" w14:textId="0568C9BB" w:rsidTr="00ED7D59">
        <w:tc>
          <w:tcPr>
            <w:tcW w:w="1457" w:type="dxa"/>
          </w:tcPr>
          <w:p w14:paraId="7CE0DF64" w14:textId="77777777" w:rsidR="00ED7D59" w:rsidRDefault="00ED7D59" w:rsidP="00D5683D">
            <w:pPr>
              <w:rPr>
                <w:rFonts w:cstheme="minorHAnsi"/>
                <w:b/>
                <w:sz w:val="20"/>
                <w:szCs w:val="20"/>
              </w:rPr>
            </w:pPr>
            <w:r w:rsidRPr="00912710">
              <w:rPr>
                <w:rFonts w:cstheme="minorHAnsi"/>
                <w:b/>
                <w:sz w:val="20"/>
                <w:szCs w:val="20"/>
              </w:rPr>
              <w:t>Response to illness/ Treatment</w:t>
            </w:r>
          </w:p>
          <w:p w14:paraId="563CA58D" w14:textId="03CA2457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1656CFA" w14:textId="311C2EE5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E6DB07F" w14:textId="212E5D2D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F720563" w14:textId="11129E49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4455C50" w14:textId="7C4CBB00" w:rsidR="00ED7D59" w:rsidRPr="009D7581" w:rsidRDefault="00ED7D59" w:rsidP="00D5683D">
            <w:pPr>
              <w:pStyle w:val="Heading3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color w:val="1A1A1A"/>
                <w:spacing w:val="-4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3F34F7E" w14:textId="049A0850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3C9FCBF" w14:textId="266B50DF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0FC784" w14:textId="77777777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D59" w:rsidRPr="009D7581" w14:paraId="28C49D84" w14:textId="1865D41B" w:rsidTr="00ED7D59">
        <w:tc>
          <w:tcPr>
            <w:tcW w:w="1457" w:type="dxa"/>
            <w:shd w:val="clear" w:color="auto" w:fill="F2F2F2" w:themeFill="background1" w:themeFillShade="F2"/>
          </w:tcPr>
          <w:p w14:paraId="766C339D" w14:textId="77777777" w:rsidR="00ED7D59" w:rsidRDefault="00ED7D59" w:rsidP="00D5683D">
            <w:pPr>
              <w:rPr>
                <w:rFonts w:cstheme="minorHAnsi"/>
                <w:b/>
                <w:sz w:val="20"/>
                <w:szCs w:val="20"/>
              </w:rPr>
            </w:pPr>
            <w:r w:rsidRPr="00912710">
              <w:rPr>
                <w:rFonts w:cstheme="minorHAnsi"/>
                <w:b/>
                <w:sz w:val="20"/>
                <w:szCs w:val="20"/>
              </w:rPr>
              <w:t>Health system – facilities and infrastructure</w:t>
            </w:r>
          </w:p>
          <w:p w14:paraId="4F435427" w14:textId="60D56AB9" w:rsidR="00ED7D59" w:rsidRPr="00E726D3" w:rsidRDefault="00ED7D59" w:rsidP="00D5683D">
            <w:pPr>
              <w:rPr>
                <w:b/>
                <w:i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14:paraId="53529D93" w14:textId="16E96A63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14:paraId="09037AA2" w14:textId="7E0A383A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14:paraId="6B837D1A" w14:textId="2841E6E1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E633BC4" w14:textId="022A209A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2FF8A8A5" w14:textId="34EEFDF3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1D88EBA3" w14:textId="01950280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1586D409" w14:textId="77777777" w:rsidR="00ED7D59" w:rsidRPr="009D7581" w:rsidRDefault="00ED7D59" w:rsidP="00D568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D59" w:rsidRPr="009D7581" w14:paraId="6271C5CC" w14:textId="70810C49" w:rsidTr="00ED7D59">
        <w:tc>
          <w:tcPr>
            <w:tcW w:w="1457" w:type="dxa"/>
          </w:tcPr>
          <w:p w14:paraId="082371B5" w14:textId="77777777" w:rsidR="00ED7D59" w:rsidRDefault="00ED7D59" w:rsidP="00C57DD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912710">
              <w:rPr>
                <w:rFonts w:cstheme="minorHAnsi"/>
                <w:b/>
                <w:bCs/>
                <w:sz w:val="20"/>
                <w:szCs w:val="20"/>
              </w:rPr>
              <w:t>conomic impacts</w:t>
            </w:r>
          </w:p>
          <w:p w14:paraId="3E6B747C" w14:textId="74129678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B6099EE" w14:textId="77777777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3FE13FC" w14:textId="77777777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55159D4" w14:textId="77777777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CEFE518" w14:textId="77777777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34A3B4" w14:textId="77777777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5275EEE" w14:textId="77777777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C138C1" w14:textId="77777777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D59" w:rsidRPr="009D7581" w14:paraId="65B14D29" w14:textId="0CAB1976" w:rsidTr="00ED7D59">
        <w:tc>
          <w:tcPr>
            <w:tcW w:w="1457" w:type="dxa"/>
            <w:shd w:val="clear" w:color="auto" w:fill="F2F2F2" w:themeFill="background1" w:themeFillShade="F2"/>
          </w:tcPr>
          <w:p w14:paraId="401CFDBA" w14:textId="77777777" w:rsidR="00ED7D59" w:rsidRDefault="00ED7D59" w:rsidP="00C57D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2710">
              <w:rPr>
                <w:rFonts w:cstheme="minorHAnsi"/>
                <w:b/>
                <w:bCs/>
                <w:sz w:val="20"/>
                <w:szCs w:val="20"/>
              </w:rPr>
              <w:t>Social impacts</w:t>
            </w:r>
          </w:p>
          <w:p w14:paraId="4F3CCC7A" w14:textId="3CC5CF20" w:rsidR="00CD7E78" w:rsidRPr="00E726D3" w:rsidRDefault="00CD7E78" w:rsidP="00C57DD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14:paraId="6A7D5529" w14:textId="77777777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</w:tcPr>
          <w:p w14:paraId="6538F4DD" w14:textId="1A798667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14:paraId="55169C7F" w14:textId="702A1BCD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F7EA8A6" w14:textId="77777777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1918D374" w14:textId="77777777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65BED9AA" w14:textId="691BF244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1AFC7313" w14:textId="77777777" w:rsidR="00ED7D59" w:rsidRPr="009D7581" w:rsidRDefault="00ED7D59" w:rsidP="00C57D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7E78" w:rsidRPr="009D7581" w14:paraId="0EFD1DBE" w14:textId="77777777" w:rsidTr="00CD7E78">
        <w:tc>
          <w:tcPr>
            <w:tcW w:w="1457" w:type="dxa"/>
            <w:shd w:val="clear" w:color="auto" w:fill="auto"/>
          </w:tcPr>
          <w:p w14:paraId="4C85E08A" w14:textId="1A271DA6" w:rsidR="00CD7E78" w:rsidRPr="00912710" w:rsidRDefault="00CD7E78" w:rsidP="00C57DD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Security impacts</w:t>
            </w:r>
          </w:p>
        </w:tc>
        <w:tc>
          <w:tcPr>
            <w:tcW w:w="1474" w:type="dxa"/>
            <w:shd w:val="clear" w:color="auto" w:fill="auto"/>
          </w:tcPr>
          <w:p w14:paraId="4703F53C" w14:textId="77777777" w:rsidR="00CD7E78" w:rsidRPr="009D7581" w:rsidRDefault="00CD7E78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7DE3D63C" w14:textId="77777777" w:rsidR="00CD7E78" w:rsidRPr="009D7581" w:rsidRDefault="00CD7E78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289EBB07" w14:textId="77777777" w:rsidR="00CD7E78" w:rsidRPr="009D7581" w:rsidRDefault="00CD7E78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C79BF80" w14:textId="77777777" w:rsidR="00CD7E78" w:rsidRPr="009D7581" w:rsidRDefault="00CD7E78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5B4880A" w14:textId="77777777" w:rsidR="00CD7E78" w:rsidRPr="009D7581" w:rsidRDefault="00CD7E78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9D3A8E5" w14:textId="77777777" w:rsidR="00CD7E78" w:rsidRPr="009D7581" w:rsidRDefault="00CD7E78" w:rsidP="00C57D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8033B0C" w14:textId="77777777" w:rsidR="00CD7E78" w:rsidRPr="009D7581" w:rsidRDefault="00CD7E78" w:rsidP="00C57D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4F29511" w14:textId="11A4F74E" w:rsidR="006503FB" w:rsidRPr="009D7581" w:rsidRDefault="006503FB" w:rsidP="00F705BB">
      <w:pPr>
        <w:rPr>
          <w:rFonts w:cstheme="minorHAnsi"/>
          <w:sz w:val="20"/>
          <w:szCs w:val="20"/>
        </w:rPr>
      </w:pPr>
    </w:p>
    <w:sectPr w:rsidR="006503FB" w:rsidRPr="009D7581" w:rsidSect="00E726D3">
      <w:pgSz w:w="20160" w:h="12240" w:orient="landscape" w:code="5"/>
      <w:pgMar w:top="88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22EC"/>
    <w:multiLevelType w:val="hybridMultilevel"/>
    <w:tmpl w:val="DC8A51B0"/>
    <w:lvl w:ilvl="0" w:tplc="1DB63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FECE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5CB1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1CA9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02CE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4B0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9EF2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3C690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3243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144AA"/>
    <w:multiLevelType w:val="hybridMultilevel"/>
    <w:tmpl w:val="8C60A96A"/>
    <w:lvl w:ilvl="0" w:tplc="84F40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322D"/>
    <w:multiLevelType w:val="hybridMultilevel"/>
    <w:tmpl w:val="52CAA7DC"/>
    <w:lvl w:ilvl="0" w:tplc="43EA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8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AA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44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04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C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8C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27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D91C90"/>
    <w:multiLevelType w:val="hybridMultilevel"/>
    <w:tmpl w:val="E0907312"/>
    <w:lvl w:ilvl="0" w:tplc="1156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612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24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80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A8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64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4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4B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26"/>
    <w:rsid w:val="0000767F"/>
    <w:rsid w:val="000455D2"/>
    <w:rsid w:val="00046614"/>
    <w:rsid w:val="00057A76"/>
    <w:rsid w:val="00082532"/>
    <w:rsid w:val="001100D9"/>
    <w:rsid w:val="00154DBA"/>
    <w:rsid w:val="001C0739"/>
    <w:rsid w:val="001C7BCF"/>
    <w:rsid w:val="001D10D7"/>
    <w:rsid w:val="001E3724"/>
    <w:rsid w:val="0020481A"/>
    <w:rsid w:val="00220A47"/>
    <w:rsid w:val="002263F7"/>
    <w:rsid w:val="0025409B"/>
    <w:rsid w:val="00293253"/>
    <w:rsid w:val="002A119A"/>
    <w:rsid w:val="002F4E75"/>
    <w:rsid w:val="002F4E8B"/>
    <w:rsid w:val="00316506"/>
    <w:rsid w:val="00343515"/>
    <w:rsid w:val="003A28D9"/>
    <w:rsid w:val="00401FEE"/>
    <w:rsid w:val="004039DC"/>
    <w:rsid w:val="004224BD"/>
    <w:rsid w:val="00425DDF"/>
    <w:rsid w:val="0043037A"/>
    <w:rsid w:val="004776B5"/>
    <w:rsid w:val="00481421"/>
    <w:rsid w:val="00492918"/>
    <w:rsid w:val="004C125A"/>
    <w:rsid w:val="004F5F3C"/>
    <w:rsid w:val="005527F8"/>
    <w:rsid w:val="005831AE"/>
    <w:rsid w:val="00590FA3"/>
    <w:rsid w:val="005B2625"/>
    <w:rsid w:val="005B501F"/>
    <w:rsid w:val="005B5857"/>
    <w:rsid w:val="005D793F"/>
    <w:rsid w:val="00626B4A"/>
    <w:rsid w:val="006503FB"/>
    <w:rsid w:val="00661526"/>
    <w:rsid w:val="006910E2"/>
    <w:rsid w:val="006D2AA9"/>
    <w:rsid w:val="006E7126"/>
    <w:rsid w:val="007920F2"/>
    <w:rsid w:val="007A6BA6"/>
    <w:rsid w:val="007F6032"/>
    <w:rsid w:val="00824D84"/>
    <w:rsid w:val="00836BD1"/>
    <w:rsid w:val="00837629"/>
    <w:rsid w:val="00867C96"/>
    <w:rsid w:val="0087443A"/>
    <w:rsid w:val="00895581"/>
    <w:rsid w:val="008D3C20"/>
    <w:rsid w:val="009224ED"/>
    <w:rsid w:val="009563BF"/>
    <w:rsid w:val="009564A1"/>
    <w:rsid w:val="00974C86"/>
    <w:rsid w:val="009D3429"/>
    <w:rsid w:val="009D7581"/>
    <w:rsid w:val="00A57EE5"/>
    <w:rsid w:val="00A91073"/>
    <w:rsid w:val="00AF7933"/>
    <w:rsid w:val="00B52426"/>
    <w:rsid w:val="00B6151D"/>
    <w:rsid w:val="00BA6910"/>
    <w:rsid w:val="00BD4F15"/>
    <w:rsid w:val="00C001EC"/>
    <w:rsid w:val="00C002D6"/>
    <w:rsid w:val="00C27B85"/>
    <w:rsid w:val="00C3147B"/>
    <w:rsid w:val="00C40C1F"/>
    <w:rsid w:val="00C57DD9"/>
    <w:rsid w:val="00CD7E78"/>
    <w:rsid w:val="00CF07E6"/>
    <w:rsid w:val="00D543A5"/>
    <w:rsid w:val="00D5683D"/>
    <w:rsid w:val="00D96B19"/>
    <w:rsid w:val="00DE36D9"/>
    <w:rsid w:val="00DE5401"/>
    <w:rsid w:val="00E3668B"/>
    <w:rsid w:val="00E41BE2"/>
    <w:rsid w:val="00E43B8D"/>
    <w:rsid w:val="00E51B06"/>
    <w:rsid w:val="00E726D3"/>
    <w:rsid w:val="00EB3F69"/>
    <w:rsid w:val="00ED7D59"/>
    <w:rsid w:val="00EF78C8"/>
    <w:rsid w:val="00EF7D52"/>
    <w:rsid w:val="00F0177B"/>
    <w:rsid w:val="00F11480"/>
    <w:rsid w:val="00F502BE"/>
    <w:rsid w:val="00F705BB"/>
    <w:rsid w:val="00F851A6"/>
    <w:rsid w:val="00F90976"/>
    <w:rsid w:val="00FA7206"/>
    <w:rsid w:val="00FA732A"/>
    <w:rsid w:val="00FB5646"/>
    <w:rsid w:val="00FE0E5F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B2D5"/>
  <w15:docId w15:val="{24A949A9-D1A7-47BA-9656-84EDB47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5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B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B50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B501F"/>
    <w:rPr>
      <w:b/>
      <w:bCs/>
    </w:rPr>
  </w:style>
  <w:style w:type="paragraph" w:customStyle="1" w:styleId="Default">
    <w:name w:val="Default"/>
    <w:rsid w:val="00FA7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7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90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0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016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86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ris.wpro.who.int/handle/10665.1/79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7D6D8-47EF-9B48-A791-F06A4782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Devoto, Bianca</dc:creator>
  <cp:keywords/>
  <dc:description/>
  <cp:lastModifiedBy>Rosemary Morgan</cp:lastModifiedBy>
  <cp:revision>3</cp:revision>
  <dcterms:created xsi:type="dcterms:W3CDTF">2020-08-31T21:51:00Z</dcterms:created>
  <dcterms:modified xsi:type="dcterms:W3CDTF">2020-08-31T21:52:00Z</dcterms:modified>
</cp:coreProperties>
</file>